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34"/>
        <w:gridCol w:w="3634"/>
        <w:gridCol w:w="3227"/>
      </w:tblGrid>
      <w:tr>
        <w:trPr>
          <w:trHeight w:val="454" w:hRule="atLeast"/>
        </w:trPr>
        <w:tc>
          <w:tcPr>
            <w:tcW w:w="1049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422" w:hRule="atLeast"/>
        </w:trPr>
        <w:tc>
          <w:tcPr>
            <w:tcW w:w="3634"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6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27"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424" w:hRule="atLeast"/>
        </w:trPr>
        <w:tc>
          <w:tcPr>
            <w:tcW w:w="3634"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634"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227"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7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710"/>
      </w:tblGrid>
      <w:tr>
        <w:trPr/>
        <w:tc>
          <w:tcPr>
            <w:tcW w:w="107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240" w:lineRule="exact"/>
              <w:ind w:rightChars="0"/>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日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rPr>
              <w:t>青梅市長　大勢待　利　明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Chars="0"/>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none" w:color="000000"/>
              </w:rPr>
              <w:t>　　</w:t>
            </w:r>
          </w:p>
          <w:p>
            <w:pPr>
              <w:pStyle w:val="0"/>
              <w:suppressAutoHyphens w:val="1"/>
              <w:kinsoku w:val="0"/>
              <w:wordWrap w:val="0"/>
              <w:overflowPunct w:val="0"/>
              <w:autoSpaceDE w:val="0"/>
              <w:autoSpaceDN w:val="0"/>
              <w:adjustRightInd w:val="0"/>
              <w:spacing w:line="240" w:lineRule="exact"/>
              <w:ind w:rightChars="0"/>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none" w:color="000000"/>
              </w:rPr>
              <w:t>　　</w:t>
            </w:r>
          </w:p>
          <w:p>
            <w:pPr>
              <w:pStyle w:val="0"/>
              <w:suppressAutoHyphens w:val="1"/>
              <w:kinsoku w:val="0"/>
              <w:wordWrap w:val="0"/>
              <w:overflowPunct w:val="0"/>
              <w:autoSpaceDE w:val="0"/>
              <w:autoSpaceDN w:val="0"/>
              <w:adjustRightInd w:val="0"/>
              <w:spacing w:line="240" w:lineRule="exact"/>
              <w:ind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40" w:lineRule="exact"/>
              <w:ind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w:t>
            </w:r>
            <w:r>
              <w:rPr>
                <w:rFonts w:hint="eastAsia" w:ascii="ＭＳ ゴシック" w:hAnsi="ＭＳ ゴシック" w:eastAsia="ＭＳ ゴシック"/>
                <w:color w:val="000000"/>
                <w:spacing w:val="16"/>
                <w:kern w:val="0"/>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81"/>
              <w:gridCol w:w="3484"/>
              <w:gridCol w:w="3483"/>
            </w:tblGrid>
            <w:tr>
              <w:trPr>
                <w:trHeight w:val="459" w:hRule="atLeast"/>
              </w:trPr>
              <w:tc>
                <w:tcPr>
                  <w:tcW w:w="348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348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483"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480" w:hRule="atLeast"/>
              </w:trPr>
              <w:tc>
                <w:tcPr>
                  <w:tcW w:w="348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484"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483"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00" w:lineRule="exact"/>
              <w:ind w:righ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　原油等の仕入単価の上昇</w:t>
            </w:r>
            <w:r>
              <w:rPr>
                <w:rFonts w:hint="eastAsia" w:ascii="ＭＳ ゴシック" w:hAnsi="ＭＳ ゴシック" w:eastAsia="ＭＳ ゴシック"/>
                <w:color w:val="000000"/>
                <w:kern w:val="0"/>
                <w:sz w:val="18"/>
              </w:rPr>
              <w:t>（注２）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w:t>
            </w:r>
            <w:r>
              <w:rPr>
                <w:rFonts w:hint="eastAsia" w:ascii="ＭＳ ゴシック" w:hAnsi="ＭＳ ゴシック" w:eastAsia="ＭＳ ゴシック"/>
                <w:color w:val="000000"/>
                <w:spacing w:val="16"/>
                <w:kern w:val="0"/>
                <w:u w:val="single" w:color="auto"/>
              </w:rPr>
              <w:t>指定業種に係る平均仕入単価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left="0" w:leftChars="0" w:firstLine="726" w:firstLineChars="3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left="0" w:leftChars="0" w:firstLine="726" w:firstLineChars="3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原油等が売上原価に占める割合</w:t>
            </w:r>
            <w:r>
              <w:rPr>
                <w:rFonts w:hint="eastAsia" w:ascii="ＭＳ ゴシック" w:hAnsi="ＭＳ ゴシック" w:eastAsia="ＭＳ ゴシック"/>
                <w:color w:val="000000"/>
                <w:kern w:val="0"/>
                <w:sz w:val="18"/>
              </w:rPr>
              <w:t>（注２）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firstLine="735" w:firstLineChars="3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w:t>
            </w:r>
            <w:r>
              <w:rPr>
                <w:rFonts w:hint="eastAsia" w:ascii="ＭＳ ゴシック" w:hAnsi="ＭＳ ゴシック" w:eastAsia="ＭＳ ゴシック"/>
                <w:color w:val="000000"/>
                <w:kern w:val="0"/>
                <w:sz w:val="18"/>
              </w:rPr>
              <w:t>（注３）</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指定</w:t>
            </w:r>
            <w:r>
              <w:rPr>
                <w:rFonts w:hint="eastAsia" w:ascii="ＭＳ ゴシック" w:hAnsi="ＭＳ ゴシック" w:eastAsia="ＭＳ ゴシック"/>
                <w:color w:val="000000"/>
                <w:kern w:val="0"/>
                <w:u w:val="single" w:color="auto"/>
              </w:rPr>
              <w:t>業種に係る転嫁の状況　Ｐ＝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firstLine="735" w:firstLineChars="3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指定業種に係る仕入額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firstLine="735" w:firstLineChars="3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firstLine="735" w:firstLineChars="3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全体に係る売上高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firstLine="735" w:firstLineChars="3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leftChars="0" w:firstLineChars="0"/>
              <w:jc w:val="left"/>
              <w:textAlignment w:val="baseline"/>
              <w:rPr>
                <w:rFonts w:hint="eastAsia"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77470</wp:posOffset>
                      </wp:positionH>
                      <wp:positionV relativeFrom="paragraph">
                        <wp:posOffset>99060</wp:posOffset>
                      </wp:positionV>
                      <wp:extent cx="65278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52780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5pt" o:spt="20" from="6.1pt,7.8000000000000007pt" to="520.1pt,7.8000000000000007pt">
                      <v:fill/>
                      <v:stroke linestyle="single" miterlimit="8" endcap="flat" dashstyle="solid" filltype="solid"/>
                      <v:textbox style="layout-flow:horizontal;"/>
                      <v:imagedata o:title=""/>
                      <w10:wrap type="none" anchorx="text" anchory="text"/>
                    </v:line>
                  </w:pict>
                </mc:Fallback>
              </mc:AlternateContent>
            </w: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ind w:left="0" w:leftChars="0" w:firstLine="250" w:firstLineChars="10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spacing w:val="20"/>
              </w:rPr>
              <w:t>青地商第　　　　　号</w:t>
            </w:r>
            <w:r>
              <w:rPr>
                <w:rFonts w:hint="eastAsia" w:ascii="ＭＳ ゴシック" w:hAnsi="ＭＳ ゴシック" w:eastAsia="ＭＳ ゴシック"/>
                <w:spacing w:val="20"/>
              </w:rPr>
              <w:t xml:space="preserve">  </w:t>
            </w:r>
          </w:p>
          <w:p>
            <w:pPr>
              <w:pStyle w:val="0"/>
              <w:suppressAutoHyphens w:val="1"/>
              <w:kinsoku w:val="0"/>
              <w:wordWrap w:val="0"/>
              <w:overflowPunct w:val="0"/>
              <w:autoSpaceDE w:val="0"/>
              <w:autoSpaceDN w:val="0"/>
              <w:adjustRightInd w:val="0"/>
              <w:spacing w:line="240" w:lineRule="exact"/>
              <w:ind w:left="0" w:leftChars="0" w:firstLine="242" w:firstLineChars="10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年　　月　　日</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1815" w:firstLineChars="75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年　　　月　　　日から　　　　年　　　月　　　日まで</w:t>
            </w:r>
          </w:p>
          <w:p>
            <w:pPr>
              <w:pStyle w:val="0"/>
              <w:suppressAutoHyphens w:val="1"/>
              <w:kinsoku w:val="0"/>
              <w:wordWrap w:val="0"/>
              <w:overflowPunct w:val="0"/>
              <w:autoSpaceDE w:val="0"/>
              <w:autoSpaceDN w:val="0"/>
              <w:adjustRightInd w:val="0"/>
              <w:spacing w:line="240" w:lineRule="exact"/>
              <w:ind w:firstLine="1815" w:firstLineChars="750"/>
              <w:jc w:val="left"/>
              <w:textAlignment w:val="baseline"/>
              <w:rPr>
                <w:rFonts w:hint="eastAsia" w:ascii="ＭＳ ゴシック" w:hAnsi="ＭＳ ゴシック" w:eastAsia="ＭＳ ゴシック"/>
                <w:color w:val="000000"/>
                <w:spacing w:val="16"/>
                <w:kern w:val="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left="0" w:leftChars="0" w:firstLine="6300" w:firstLineChars="30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rPr>
              <w:t>青梅市長　大勢待　利　明</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left="0" w:leftChars="0" w:firstLine="7260" w:firstLineChars="3000"/>
              <w:jc w:val="left"/>
              <w:textAlignment w:val="baseline"/>
              <w:rPr>
                <w:rFonts w:hint="default" w:ascii="ＭＳ ゴシック" w:hAnsi="ＭＳ ゴシック" w:eastAsia="ＭＳ ゴシック"/>
                <w:color w:val="000000"/>
                <w:spacing w:val="16"/>
                <w:kern w:val="0"/>
                <w:u w:val="single" w:color="auto"/>
              </w:rPr>
            </w:pP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spacing w:line="16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（注１）本様式は、指定業種と非指定業種を兼業している場合であって、指定業種及び申請者全体の双方が認定基準を満たす場合に使用する。</w:t>
      </w:r>
    </w:p>
    <w:p>
      <w:pPr>
        <w:pStyle w:val="0"/>
        <w:suppressAutoHyphens w:val="1"/>
        <w:spacing w:line="160" w:lineRule="exact"/>
        <w:ind w:left="862" w:hanging="86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（注２）上昇率、依存率及び最近１か月間における全体の売上原価に占める指定業種の売上原価の割合が２０％以上となっていること。</w:t>
      </w:r>
    </w:p>
    <w:p>
      <w:pPr>
        <w:pStyle w:val="0"/>
        <w:suppressAutoHyphens w:val="1"/>
        <w:spacing w:line="160" w:lineRule="exact"/>
        <w:ind w:left="862" w:hanging="86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（注３）Ｐ＞０となっていること。</w:t>
      </w:r>
    </w:p>
    <w:p>
      <w:pPr>
        <w:pStyle w:val="0"/>
        <w:suppressAutoHyphens w:val="1"/>
        <w:spacing w:line="160" w:lineRule="exact"/>
        <w:ind w:left="862" w:hanging="86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（留意事項）①本認定とは別に、金融機関及び信用保証協会による金融上の審査があります。</w:t>
      </w:r>
    </w:p>
    <w:p>
      <w:pPr>
        <w:pStyle w:val="0"/>
        <w:suppressAutoHyphens w:val="1"/>
        <w:wordWrap w:val="0"/>
        <w:spacing w:line="160" w:lineRule="exact"/>
        <w:ind w:left="0" w:leftChars="0" w:right="-231" w:rightChars="-110" w:hanging="1260" w:hangingChars="700"/>
        <w:jc w:val="left"/>
        <w:textAlignment w:val="baseline"/>
        <w:rPr>
          <w:rFonts w:hint="eastAsia"/>
        </w:rPr>
      </w:pPr>
      <w:r>
        <w:rPr>
          <w:rFonts w:hint="eastAsia" w:ascii="ＭＳ ゴシック" w:hAnsi="ＭＳ ゴシック" w:eastAsia="ＭＳ ゴシック"/>
          <w:color w:val="000000"/>
          <w:kern w:val="0"/>
          <w:sz w:val="18"/>
        </w:rPr>
        <w:t>　</w:t>
      </w: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②市町村長又は特別区長から認定を受けた日から３０日以内に金融機関又は信用保証協会に対して、保証の申込みを行うことが必要です。</w:t>
      </w:r>
    </w:p>
    <w:p>
      <w:pPr>
        <w:pStyle w:val="0"/>
        <w:widowControl w:val="1"/>
        <w:jc w:val="righ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（認定申請書ロ－②の添付書類）</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bookmarkStart w:id="0" w:name="_GoBack"/>
      <w:bookmarkEnd w:id="0"/>
      <w:r>
        <w:rPr>
          <w:rFonts w:hint="eastAsia" w:ascii="ＭＳ ゴシック" w:hAnsi="ＭＳ ゴシック" w:eastAsia="ＭＳ ゴシック"/>
          <w:sz w:val="24"/>
          <w:u w:val="single" w:color="auto"/>
        </w:rPr>
        <w:t>申請者名（名称及び代表者の氏名）：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19"/>
        <w:tblW w:w="8494" w:type="dxa"/>
        <w:tblInd w:w="0" w:type="dxa"/>
        <w:tblLayout w:type="fixed"/>
        <w:tblLook w:firstRow="1" w:lastRow="0" w:firstColumn="1" w:lastColumn="0" w:noHBand="0" w:noVBand="1" w:val="04A0"/>
      </w:tblPr>
      <w:tblGrid>
        <w:gridCol w:w="2865"/>
        <w:gridCol w:w="2784"/>
        <w:gridCol w:w="2845"/>
      </w:tblGrid>
      <w:tr>
        <w:trPr>
          <w:trHeight w:val="441" w:hRule="atLeast"/>
        </w:trPr>
        <w:tc>
          <w:tcPr>
            <w:tcW w:w="8494" w:type="dxa"/>
            <w:gridSpan w:val="3"/>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jc w:val="both"/>
              <w:rPr>
                <w:rFonts w:hint="eastAsia"/>
              </w:rPr>
            </w:pPr>
            <w:r>
              <w:rPr>
                <w:rFonts w:hint="eastAsia" w:ascii="ＭＳ ゴシック" w:hAnsi="ＭＳ ゴシック" w:eastAsia="ＭＳ ゴシック"/>
                <w:sz w:val="24"/>
              </w:rPr>
              <w:t>当社の指定業種は＿＿＿＿＿＿＿＿＿＿＿</w:t>
            </w:r>
          </w:p>
        </w:tc>
      </w:tr>
      <w:tr>
        <w:trPr/>
        <w:tc>
          <w:tcPr>
            <w:tcW w:w="2865" w:type="dxa"/>
            <w:tcBorders>
              <w:top w:val="single" w:color="auto" w:sz="24"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2784" w:type="dxa"/>
            <w:tcBorders>
              <w:top w:val="single" w:color="auto" w:sz="24"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2845" w:type="dxa"/>
            <w:tcBorders>
              <w:top w:val="single" w:color="auto" w:sz="24"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2865"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2784"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845"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28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2784"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84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28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2784"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84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2865"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2784"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845"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※：業種欄には</w:t>
      </w:r>
      <w:r>
        <w:rPr>
          <w:rFonts w:hint="eastAsia" w:ascii="ＭＳ ゴシック" w:hAnsi="ＭＳ ゴシック" w:eastAsia="ＭＳ ゴシック"/>
          <w:color w:val="000000"/>
          <w:spacing w:val="16"/>
          <w:kern w:val="0"/>
          <w:sz w:val="24"/>
        </w:rPr>
        <w:t>日本標準産業分類の細分類番号と細分類業種名を記載。</w:t>
      </w: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w w:val="92"/>
          <w:kern w:val="0"/>
          <w:sz w:val="22"/>
          <w:fitText w:val="8580" w:id="1"/>
        </w:rPr>
        <w:t>（表２：最近１か月間における</w:t>
      </w:r>
      <w:r>
        <w:rPr>
          <w:rFonts w:hint="eastAsia" w:ascii="ＭＳ ゴシック" w:hAnsi="ＭＳ ゴシック" w:eastAsia="ＭＳ ゴシック"/>
          <w:color w:val="000000"/>
          <w:spacing w:val="6"/>
          <w:kern w:val="0"/>
          <w:sz w:val="22"/>
          <w:fitText w:val="8580" w:id="1"/>
        </w:rPr>
        <w:t>企業</w:t>
      </w:r>
      <w:r>
        <w:rPr>
          <w:rFonts w:hint="eastAsia" w:ascii="ＭＳ ゴシック" w:hAnsi="ＭＳ ゴシック" w:eastAsia="ＭＳ ゴシック"/>
          <w:color w:val="000000"/>
          <w:spacing w:val="6"/>
          <w:w w:val="92"/>
          <w:kern w:val="0"/>
          <w:sz w:val="22"/>
          <w:fitText w:val="8580" w:id="1"/>
        </w:rPr>
        <w:t>全体の売上原価に占める指定業種の売上原価の割合</w:t>
      </w:r>
      <w:r>
        <w:rPr>
          <w:rFonts w:hint="eastAsia" w:ascii="ＭＳ ゴシック" w:hAnsi="ＭＳ ゴシック" w:eastAsia="ＭＳ ゴシック"/>
          <w:color w:val="000000"/>
          <w:spacing w:val="15"/>
          <w:w w:val="92"/>
          <w:kern w:val="0"/>
          <w:sz w:val="22"/>
          <w:fitText w:val="8580" w:id="1"/>
        </w:rPr>
        <w:t>）</w:t>
      </w:r>
    </w:p>
    <w:tbl>
      <w:tblPr>
        <w:tblStyle w:val="19"/>
        <w:tblW w:w="8494" w:type="dxa"/>
        <w:tblInd w:w="0" w:type="dxa"/>
        <w:tblLayout w:type="fixed"/>
        <w:tblLook w:firstRow="1" w:lastRow="0" w:firstColumn="1" w:lastColumn="0" w:noHBand="0" w:noVBand="1" w:val="04A0"/>
      </w:tblPr>
      <w:tblGrid>
        <w:gridCol w:w="4673"/>
        <w:gridCol w:w="3821"/>
      </w:tblGrid>
      <w:tr>
        <w:trPr/>
        <w:tc>
          <w:tcPr>
            <w:tcW w:w="467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企業全体の最近１か月間の売上原価【</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3821"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67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指定業種の最近１か月間の売上原価【</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3821" w:type="dxa"/>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673"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3821"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80" w:beforeLines="50" w:beforeAutospacing="0" w:line="366" w:lineRule="atLeast"/>
        <w:jc w:val="left"/>
        <w:rPr>
          <w:rFonts w:hint="default" w:ascii="ＭＳ ゴシック" w:hAnsi="ＭＳ ゴシック" w:eastAsia="ＭＳ ゴシック"/>
          <w:sz w:val="22"/>
        </w:rPr>
      </w:pPr>
      <w:r>
        <w:rPr>
          <w:rFonts w:hint="eastAsia" w:ascii="ＭＳ ゴシック" w:hAnsi="ＭＳ ゴシック" w:eastAsia="ＭＳ ゴシック"/>
          <w:kern w:val="0"/>
          <w:sz w:val="22"/>
        </w:rPr>
        <w:t>（表３：指定業種に係る原油等の最近１か月間の仕入単価の上昇）</w:t>
      </w:r>
    </w:p>
    <w:tbl>
      <w:tblPr>
        <w:tblStyle w:val="11"/>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2738"/>
        <w:gridCol w:w="2342"/>
        <w:gridCol w:w="3430"/>
      </w:tblGrid>
      <w:tr>
        <w:trPr/>
        <w:tc>
          <w:tcPr>
            <w:tcW w:w="1271" w:type="dxa"/>
            <w:vAlign w:val="top"/>
          </w:tcPr>
          <w:p>
            <w:pPr>
              <w:pStyle w:val="0"/>
              <w:rPr>
                <w:rFonts w:hint="default" w:ascii="ＭＳ ゴシック" w:hAnsi="ＭＳ ゴシック" w:eastAsia="ＭＳ ゴシック"/>
                <w:sz w:val="24"/>
              </w:rPr>
            </w:pPr>
          </w:p>
        </w:tc>
        <w:tc>
          <w:tcPr>
            <w:tcW w:w="2738"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原油等の最近１か月間の平均仕入単価</w:t>
            </w:r>
          </w:p>
        </w:tc>
        <w:tc>
          <w:tcPr>
            <w:tcW w:w="2342"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原油等の前年同月の平均仕入単価</w:t>
            </w:r>
          </w:p>
        </w:tc>
        <w:tc>
          <w:tcPr>
            <w:tcW w:w="3430"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原油等の仕入単価の上昇率</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E/</w:t>
            </w:r>
            <w:r>
              <w:rPr>
                <w:rFonts w:hint="eastAsia" w:ascii="ＭＳ ゴシック" w:hAnsi="ＭＳ ゴシック" w:eastAsia="ＭＳ ゴシック"/>
                <w:sz w:val="24"/>
              </w:rPr>
              <w:t>ｅ×</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c>
          <w:tcPr>
            <w:tcW w:w="1271"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指定業種</w:t>
            </w:r>
          </w:p>
        </w:tc>
        <w:tc>
          <w:tcPr>
            <w:tcW w:w="2738" w:type="dxa"/>
            <w:tcBorders>
              <w:top w:val="single" w:color="auto" w:sz="24" w:space="0"/>
              <w:left w:val="single" w:color="auto" w:sz="24" w:space="0"/>
              <w:bottom w:val="single" w:color="auto" w:sz="24" w:space="0"/>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342" w:type="dxa"/>
            <w:tcBorders>
              <w:top w:val="single" w:color="auto" w:sz="24" w:space="0"/>
              <w:left w:val="none" w:color="auto" w:sz="0" w:space="0"/>
              <w:bottom w:val="single" w:color="auto" w:sz="24" w:space="0"/>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3430" w:type="dxa"/>
            <w:tcBorders>
              <w:top w:val="single" w:color="auto" w:sz="24" w:space="0"/>
              <w:left w:val="none" w:color="auto" w:sz="0" w:space="0"/>
              <w:bottom w:val="single" w:color="auto" w:sz="24" w:space="0"/>
              <w:right w:val="single" w:color="auto" w:sz="24"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80" w:beforeLines="50" w:beforeAutospacing="0"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pacing w:val="6"/>
          <w:w w:val="87"/>
          <w:kern w:val="0"/>
          <w:sz w:val="24"/>
          <w:fitText w:val="8580" w:id="2"/>
        </w:rPr>
        <w:t>（表４：指定業種及び</w:t>
      </w:r>
      <w:r>
        <w:rPr>
          <w:rFonts w:hint="eastAsia" w:ascii="ＭＳ ゴシック" w:hAnsi="ＭＳ ゴシック" w:eastAsia="ＭＳ ゴシック"/>
          <w:spacing w:val="6"/>
          <w:w w:val="85"/>
          <w:kern w:val="0"/>
          <w:sz w:val="24"/>
          <w:fitText w:val="8580" w:id="2"/>
        </w:rPr>
        <w:t>企業</w:t>
      </w:r>
      <w:r>
        <w:rPr>
          <w:rFonts w:hint="eastAsia" w:ascii="ＭＳ ゴシック" w:hAnsi="ＭＳ ゴシック" w:eastAsia="ＭＳ ゴシック"/>
          <w:spacing w:val="6"/>
          <w:w w:val="87"/>
          <w:kern w:val="0"/>
          <w:sz w:val="24"/>
          <w:fitText w:val="8580" w:id="2"/>
        </w:rPr>
        <w:t>全体それぞれの売上原価に占める原油等の仕入価格の割合</w:t>
      </w:r>
      <w:r>
        <w:rPr>
          <w:rFonts w:hint="eastAsia" w:ascii="ＭＳ ゴシック" w:hAnsi="ＭＳ ゴシック" w:eastAsia="ＭＳ ゴシック"/>
          <w:color w:val="000000"/>
          <w:spacing w:val="8"/>
          <w:w w:val="87"/>
          <w:kern w:val="0"/>
          <w:sz w:val="24"/>
          <w:fitText w:val="8580" w:id="2"/>
        </w:rPr>
        <w:t>）</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89"/>
        <w:gridCol w:w="2417"/>
        <w:gridCol w:w="2693"/>
        <w:gridCol w:w="2987"/>
      </w:tblGrid>
      <w:tr>
        <w:trPr>
          <w:trHeight w:val="884" w:hRule="atLeast"/>
        </w:trPr>
        <w:tc>
          <w:tcPr>
            <w:tcW w:w="1689" w:type="dxa"/>
            <w:vAlign w:val="top"/>
          </w:tcPr>
          <w:p>
            <w:pPr>
              <w:pStyle w:val="0"/>
              <w:rPr>
                <w:rFonts w:hint="default" w:ascii="ＭＳ ゴシック" w:hAnsi="ＭＳ ゴシック" w:eastAsia="ＭＳ ゴシック"/>
                <w:sz w:val="24"/>
              </w:rPr>
            </w:pPr>
          </w:p>
        </w:tc>
        <w:tc>
          <w:tcPr>
            <w:tcW w:w="2417"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最近１か月間の</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w:t>
            </w:r>
          </w:p>
          <w:p>
            <w:pPr>
              <w:pStyle w:val="0"/>
              <w:jc w:val="center"/>
              <w:rPr>
                <w:rFonts w:hint="default" w:ascii="ＭＳ ゴシック" w:hAnsi="ＭＳ ゴシック" w:eastAsia="ＭＳ ゴシック"/>
                <w:sz w:val="24"/>
              </w:rPr>
            </w:pPr>
          </w:p>
        </w:tc>
        <w:tc>
          <w:tcPr>
            <w:tcW w:w="2693"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最近１か月間の売上原価に対応する原油等の仕入価格</w:t>
            </w:r>
          </w:p>
        </w:tc>
        <w:tc>
          <w:tcPr>
            <w:tcW w:w="2987"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売上原価に占める原油等の仕入価格の割合</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S/C</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rHeight w:val="363" w:hRule="atLeast"/>
        </w:trPr>
        <w:tc>
          <w:tcPr>
            <w:tcW w:w="1689"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指定業種</w:t>
            </w:r>
          </w:p>
        </w:tc>
        <w:tc>
          <w:tcPr>
            <w:tcW w:w="2417"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円【Ｃ】</w:t>
            </w:r>
          </w:p>
        </w:tc>
        <w:tc>
          <w:tcPr>
            <w:tcW w:w="269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円【Ｓ】</w:t>
            </w:r>
          </w:p>
        </w:tc>
        <w:tc>
          <w:tcPr>
            <w:tcW w:w="2987"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63" w:hRule="atLeast"/>
        </w:trPr>
        <w:tc>
          <w:tcPr>
            <w:tcW w:w="1689"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w:t>
            </w:r>
          </w:p>
        </w:tc>
        <w:tc>
          <w:tcPr>
            <w:tcW w:w="2417"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円【Ｃ】</w:t>
            </w:r>
          </w:p>
        </w:tc>
        <w:tc>
          <w:tcPr>
            <w:tcW w:w="2693"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円【Ｓ】</w:t>
            </w:r>
          </w:p>
        </w:tc>
        <w:tc>
          <w:tcPr>
            <w:tcW w:w="2987"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80" w:beforeLines="50" w:beforeAutospacing="0" w:line="366" w:lineRule="atLeast"/>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sz w:val="24"/>
        </w:rPr>
        <w:t>（表５：</w:t>
      </w:r>
      <w:r>
        <w:rPr>
          <w:rFonts w:hint="eastAsia" w:ascii="ＭＳ ゴシック" w:hAnsi="ＭＳ ゴシック" w:eastAsia="ＭＳ ゴシック"/>
          <w:color w:val="000000"/>
          <w:kern w:val="0"/>
          <w:sz w:val="24"/>
        </w:rPr>
        <w:t>指定業種及び企業全体それぞれの製品等価格への転嫁の状況）</w:t>
      </w:r>
    </w:p>
    <w:tbl>
      <w:tblPr>
        <w:tblStyle w:val="11"/>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809"/>
        <w:gridCol w:w="1596"/>
        <w:gridCol w:w="1510"/>
        <w:gridCol w:w="938"/>
        <w:gridCol w:w="1397"/>
        <w:gridCol w:w="1458"/>
        <w:gridCol w:w="935"/>
        <w:gridCol w:w="1137"/>
      </w:tblGrid>
      <w:tr>
        <w:trPr/>
        <w:tc>
          <w:tcPr>
            <w:tcW w:w="80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9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最近３か月間の原油等の</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510"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最近３か月間の売上高</w:t>
            </w:r>
          </w:p>
        </w:tc>
        <w:tc>
          <w:tcPr>
            <w:tcW w:w="938"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397"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前年同期の原油等の</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458"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前年同期の</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売上高</w:t>
            </w:r>
          </w:p>
        </w:tc>
        <w:tc>
          <w:tcPr>
            <w:tcW w:w="935"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137"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）＝Ｐ</w:t>
            </w:r>
          </w:p>
        </w:tc>
      </w:tr>
      <w:tr>
        <w:trPr/>
        <w:tc>
          <w:tcPr>
            <w:tcW w:w="809"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指定</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1596"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51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397"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45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137"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r>
      <w:tr>
        <w:trPr/>
        <w:tc>
          <w:tcPr>
            <w:tcW w:w="809"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企業</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全体</w:t>
            </w:r>
          </w:p>
        </w:tc>
        <w:tc>
          <w:tcPr>
            <w:tcW w:w="1596"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510"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8"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397"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458"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5"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137"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r>
    </w:tbl>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shd w:val="pct15" w:color="auto" w:fill="auto"/>
        </w:rPr>
        <w:t>（注）認定申請にあたっては、次の書類を合わせて提出すること</w:t>
      </w:r>
    </w:p>
    <w:p>
      <w:pPr>
        <w:pStyle w:val="0"/>
        <w:widowControl w:val="1"/>
        <w:ind w:left="996" w:leftChars="336" w:hanging="290" w:hangingChars="121"/>
        <w:jc w:val="left"/>
        <w:rPr>
          <w:rFonts w:hint="default" w:ascii="ＭＳ ゴシック" w:hAnsi="ＭＳ ゴシック" w:eastAsia="ＭＳ ゴシック"/>
          <w:sz w:val="24"/>
          <w:shd w:val="clear" w:color="auto" w:fill="auto"/>
        </w:rPr>
      </w:pPr>
      <w:r>
        <w:rPr>
          <w:rFonts w:hint="eastAsia" w:ascii="ＭＳ ゴシック" w:hAnsi="ＭＳ ゴシック" w:eastAsia="ＭＳ ゴシック"/>
          <w:sz w:val="24"/>
          <w:shd w:val="clear" w:color="auto" w:fill="auto"/>
        </w:rPr>
        <w:t>１　指定業種に属する事業を営んでいることが疎明できる書類等</w:t>
      </w:r>
    </w:p>
    <w:p>
      <w:pPr>
        <w:pStyle w:val="0"/>
        <w:widowControl w:val="1"/>
        <w:ind w:left="972" w:leftChars="463" w:firstLine="55" w:firstLineChars="25"/>
        <w:jc w:val="left"/>
        <w:rPr>
          <w:rFonts w:hint="default" w:ascii="ＭＳ ゴシック" w:hAnsi="ＭＳ ゴシック" w:eastAsia="ＭＳ ゴシック"/>
          <w:sz w:val="24"/>
          <w:shd w:val="clear" w:color="auto" w:fill="auto"/>
        </w:rPr>
      </w:pPr>
      <w:r>
        <w:rPr>
          <w:rFonts w:hint="eastAsia" w:ascii="ＭＳ ゴシック" w:hAnsi="ＭＳ ゴシック" w:eastAsia="ＭＳ ゴシック"/>
          <w:sz w:val="22"/>
          <w:shd w:val="clear" w:color="auto" w:fill="auto"/>
        </w:rPr>
        <w:t>（取り扱っている製品・サービス等を疎明できる書類、許認可証など）</w:t>
      </w:r>
    </w:p>
    <w:p>
      <w:pPr>
        <w:pStyle w:val="0"/>
        <w:widowControl w:val="1"/>
        <w:ind w:left="1222" w:leftChars="343" w:hanging="502" w:hangingChars="209"/>
        <w:jc w:val="left"/>
        <w:rPr>
          <w:rFonts w:hint="default" w:ascii="ＭＳ ゴシック" w:hAnsi="ＭＳ ゴシック" w:eastAsia="ＭＳ ゴシック"/>
          <w:sz w:val="24"/>
        </w:rPr>
      </w:pPr>
      <w:r>
        <w:rPr>
          <w:rFonts w:hint="eastAsia" w:ascii="ＭＳ ゴシック" w:hAnsi="ＭＳ ゴシック" w:eastAsia="ＭＳ ゴシック"/>
          <w:sz w:val="24"/>
          <w:shd w:val="clear" w:color="auto" w:fill="auto"/>
        </w:rPr>
        <w:t>２　</w:t>
      </w:r>
      <w:r>
        <w:rPr>
          <w:rFonts w:hint="eastAsia" w:ascii="ＭＳ ゴシック" w:hAnsi="ＭＳ ゴシック" w:eastAsia="ＭＳ ゴシック"/>
          <w:sz w:val="24"/>
        </w:rPr>
        <w:t>上記の原油等の仕入価格、売上原価及び売上高が分かる書類等</w:t>
      </w:r>
    </w:p>
    <w:p>
      <w:pPr>
        <w:pStyle w:val="0"/>
        <w:suppressAutoHyphens w:val="1"/>
        <w:wordWrap w:val="0"/>
        <w:spacing w:line="160" w:lineRule="exact"/>
        <w:ind w:left="1490" w:leftChars="500" w:right="-231" w:rightChars="-110" w:hanging="440" w:hangingChars="200"/>
        <w:jc w:val="left"/>
        <w:textAlignment w:val="baseline"/>
        <w:rPr>
          <w:rFonts w:hint="eastAsia"/>
        </w:rPr>
      </w:pPr>
      <w:r>
        <w:rPr>
          <w:rFonts w:hint="eastAsia" w:ascii="ＭＳ ゴシック" w:hAnsi="ＭＳ ゴシック" w:eastAsia="ＭＳ ゴシック"/>
          <w:sz w:val="22"/>
        </w:rPr>
        <w:t>（仕入帳、試算表、売上台帳など）</w:t>
      </w:r>
    </w:p>
    <w:sectPr>
      <w:pgSz w:w="11906" w:h="16838"/>
      <w:pgMar w:top="283" w:right="907" w:bottom="283" w:left="45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2</Pages>
  <Words>31</Words>
  <Characters>1871</Characters>
  <Application>JUST Note</Application>
  <Lines>183</Lines>
  <Paragraphs>135</Paragraphs>
  <Company>青梅市</Company>
  <CharactersWithSpaces>2859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南</dc:creator>
  <cp:lastModifiedBy>本橋　拓也</cp:lastModifiedBy>
  <cp:lastPrinted>2024-10-23T06:36:22Z</cp:lastPrinted>
  <dcterms:created xsi:type="dcterms:W3CDTF">2023-11-22T04:17:00Z</dcterms:created>
  <dcterms:modified xsi:type="dcterms:W3CDTF">2024-10-23T06:31:48Z</dcterms:modified>
  <cp:revision>1</cp:revision>
</cp:coreProperties>
</file>