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69"/>
      </w:tblGrid>
      <w:tr>
        <w:trPr>
          <w:trHeight w:val="400" w:hRule="atLeast"/>
        </w:trPr>
        <w:tc>
          <w:tcPr>
            <w:tcW w:w="965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296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296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96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60"/>
      </w:tblGrid>
      <w:tr>
        <w:trPr/>
        <w:tc>
          <w:tcPr>
            <w:tcW w:w="9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240" w:lineRule="exact"/>
              <w:ind w:right="275" w:rightChars="131"/>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日</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rPr>
              <w:t>青梅市長　大勢待　利　明</w:t>
            </w:r>
            <w:r>
              <w:rPr>
                <w:rFonts w:hint="eastAsia" w:ascii="ＭＳ ゴシック" w:hAnsi="ＭＳ ゴシック" w:eastAsia="ＭＳ ゴシック"/>
                <w:color w:val="000000"/>
                <w:kern w:val="0"/>
              </w:rPr>
              <w:t>　殿</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31"/>
              <w:gridCol w:w="3134"/>
              <w:gridCol w:w="3133"/>
            </w:tblGrid>
            <w:tr>
              <w:trPr>
                <w:trHeight w:val="366" w:hRule="atLeast"/>
              </w:trPr>
              <w:tc>
                <w:tcPr>
                  <w:tcW w:w="313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3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33" w:type="dxa"/>
                  <w:vAlign w:val="top"/>
                </w:tcPr>
                <w:p>
                  <w:pPr>
                    <w:pStyle w:val="0"/>
                    <w:suppressAutoHyphens w:val="1"/>
                    <w:kinsoku w:val="0"/>
                    <w:wordWrap w:val="0"/>
                    <w:overflowPunct w:val="0"/>
                    <w:autoSpaceDE w:val="0"/>
                    <w:autoSpaceDN w:val="0"/>
                    <w:adjustRightInd w:val="0"/>
                    <w:spacing w:line="274" w:lineRule="atLeast"/>
                    <w:ind w:right="-105" w:rightChars="-50"/>
                    <w:jc w:val="left"/>
                    <w:textAlignment w:val="baseline"/>
                    <w:rPr>
                      <w:rFonts w:hint="default" w:ascii="ＭＳ ゴシック" w:hAnsi="ＭＳ ゴシック" w:eastAsia="ＭＳ ゴシック"/>
                      <w:color w:val="000000"/>
                      <w:spacing w:val="16"/>
                      <w:kern w:val="0"/>
                    </w:rPr>
                  </w:pPr>
                </w:p>
              </w:tc>
            </w:tr>
            <w:tr>
              <w:trPr>
                <w:trHeight w:val="382" w:hRule="atLeast"/>
              </w:trPr>
              <w:tc>
                <w:tcPr>
                  <w:tcW w:w="313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34"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33"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18"/>
              </w:rPr>
              <w:t>※</w:t>
            </w: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w:t>
            </w:r>
            <w:r>
              <w:rPr>
                <w:rFonts w:hint="eastAsia" w:ascii="ＭＳ ゴシック" w:hAnsi="ＭＳ ゴシック" w:eastAsia="ＭＳ ゴシック"/>
                <w:color w:val="000000"/>
                <w:kern w:val="0"/>
                <w:sz w:val="18"/>
              </w:rPr>
              <w:t>（注２）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上昇率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年　　　月）</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18"/>
                <w:u w:val="single" w:color="000000"/>
              </w:rPr>
              <w:t>（注４）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　　　年　　　月）</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18"/>
                <w:u w:val="single" w:color="000000"/>
              </w:rPr>
              <w:t>（注４）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w:t>
            </w:r>
            <w:r>
              <w:rPr>
                <w:rFonts w:hint="eastAsia" w:ascii="ＭＳ ゴシック" w:hAnsi="ＭＳ ゴシック" w:eastAsia="ＭＳ ゴシック"/>
                <w:color w:val="000000"/>
                <w:kern w:val="0"/>
                <w:sz w:val="18"/>
              </w:rPr>
              <w:t>（注２）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依存率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18"/>
                <w:u w:val="single" w:color="000000"/>
              </w:rPr>
              <w:t>（注４）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18"/>
                <w:u w:val="single" w:color="000000"/>
              </w:rPr>
              <w:t>（注４）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w:t>
            </w:r>
            <w:r>
              <w:rPr>
                <w:rFonts w:hint="eastAsia" w:ascii="ＭＳ ゴシック" w:hAnsi="ＭＳ ゴシック" w:eastAsia="ＭＳ ゴシック"/>
                <w:color w:val="000000"/>
                <w:kern w:val="0"/>
                <w:sz w:val="18"/>
              </w:rPr>
              <w:t>（注３）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18"/>
                <w:u w:val="single" w:color="000000"/>
              </w:rPr>
              <w:t>（注４）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ａ：Ａの期間に対応する前年３か月間の原油等の仕入額</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18"/>
                <w:u w:val="single" w:color="000000"/>
              </w:rPr>
              <w:t>（注４）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18"/>
                <w:u w:val="single" w:color="000000"/>
              </w:rPr>
              <w:t>（注４）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sz w:val="18"/>
                <w:u w:val="single" w:color="000000"/>
              </w:rPr>
              <w:t>（注４）</w:t>
            </w:r>
          </w:p>
          <w:p>
            <w:pPr>
              <w:pStyle w:val="0"/>
              <w:suppressAutoHyphens w:val="1"/>
              <w:kinsoku w:val="0"/>
              <w:wordWrap w:val="0"/>
              <w:overflowPunct w:val="0"/>
              <w:autoSpaceDE w:val="0"/>
              <w:autoSpaceDN w:val="0"/>
              <w:adjustRightInd w:val="0"/>
              <w:spacing w:line="240" w:lineRule="exact"/>
              <w:ind w:firstLine="726" w:firstLineChars="300"/>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121920</wp:posOffset>
                      </wp:positionH>
                      <wp:positionV relativeFrom="paragraph">
                        <wp:posOffset>76200</wp:posOffset>
                      </wp:positionV>
                      <wp:extent cx="583692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3692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5pt" o:spt="20" from="9.6000000000000014pt,6pt" to="469.20000000000005pt,6pt">
                      <v:fill/>
                      <v:stroke linestyle="single" miterlimit="8" endcap="flat" dashstyle="solid" filltype="solid"/>
                      <v:textbox style="layout-flow:horizontal;"/>
                      <v:imagedata o:title=""/>
                      <w10:wrap type="none" anchorx="text" anchory="text"/>
                    </v:line>
                  </w:pict>
                </mc:Fallback>
              </mc:AlternateContent>
            </w:r>
          </w:p>
          <w:p>
            <w:pPr>
              <w:pStyle w:val="0"/>
              <w:suppressAutoHyphens w:val="1"/>
              <w:kinsoku w:val="0"/>
              <w:wordWrap w:val="0"/>
              <w:overflowPunct w:val="0"/>
              <w:autoSpaceDE w:val="0"/>
              <w:autoSpaceDN w:val="0"/>
              <w:adjustRightInd w:val="0"/>
              <w:spacing w:line="240" w:lineRule="exact"/>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青地商第</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号</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firstLine="242" w:firstLineChars="10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年　　月　　日</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firstLine="242" w:firstLineChars="100"/>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1694" w:firstLineChars="7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年　　　月　　　日から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青梅市長　大勢待　利　明</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（注２）上昇率及び依存率が２０％以上となっていること。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（注３）Ｐ＞０となっていること。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（注４）申請者全体の値を記載。</w:t>
      </w:r>
    </w:p>
    <w:p>
      <w:pPr>
        <w:pStyle w:val="0"/>
        <w:suppressAutoHyphens w:val="1"/>
        <w:spacing w:line="23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spacing w:line="23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①本認定とは別に、金融機関及び信用保証協会による金融上の審査があります。</w:t>
      </w:r>
    </w:p>
    <w:p>
      <w:pPr>
        <w:pStyle w:val="0"/>
        <w:widowControl w:val="1"/>
        <w:spacing w:line="230" w:lineRule="exact"/>
        <w:ind w:left="0" w:leftChars="0" w:hanging="420" w:hangingChars="200"/>
        <w:jc w:val="left"/>
        <w:rPr>
          <w:rFonts w:hint="eastAsia"/>
          <w:sz w:val="18"/>
        </w:rPr>
      </w:pPr>
      <w:r>
        <w:rPr>
          <w:rFonts w:hint="eastAsia" w:ascii="ＭＳ ゴシック" w:hAnsi="ＭＳ ゴシック" w:eastAsia="ＭＳ ゴシック"/>
          <w:color w:val="000000"/>
          <w:kern w:val="0"/>
          <w:sz w:val="18"/>
        </w:rPr>
        <w:t>　②市町村長又は特別区長から認定を受けた日から３０日以内に金融機関又は信用保証協会に対して、保証の申込みを行うことが必要です。</w:t>
      </w:r>
    </w:p>
    <w:p>
      <w:pPr>
        <w:pStyle w:val="0"/>
        <w:widowControl w:val="1"/>
        <w:spacing w:line="300" w:lineRule="exact"/>
        <w:jc w:val="right"/>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（認定申請書ロ－①の添付書類）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bookmarkStart w:id="0" w:name="_GoBack"/>
      <w:bookmarkEnd w:id="0"/>
      <w:r>
        <w:rPr>
          <w:rFonts w:hint="eastAsia" w:ascii="ＭＳ ゴシック" w:hAnsi="ＭＳ ゴシック" w:eastAsia="ＭＳ ゴシック"/>
          <w:sz w:val="24"/>
          <w:u w:val="single" w:color="auto"/>
        </w:rPr>
        <w:t>申請者名（名称及び代表者の氏名）：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19"/>
        <w:tblW w:w="8499" w:type="dxa"/>
        <w:tblInd w:w="-5" w:type="dxa"/>
        <w:tblLayout w:type="fixed"/>
        <w:tblLook w:firstRow="1" w:lastRow="0" w:firstColumn="1" w:lastColumn="0" w:noHBand="0" w:noVBand="1" w:val="04A0"/>
      </w:tblPr>
      <w:tblGrid>
        <w:gridCol w:w="3266"/>
        <w:gridCol w:w="2546"/>
        <w:gridCol w:w="2687"/>
      </w:tblGrid>
      <w:tr>
        <w:trPr/>
        <w:tc>
          <w:tcPr>
            <w:tcW w:w="326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254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2687"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66"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254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87"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6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25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87"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6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25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87"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6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254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87"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66"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254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687"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※１：業種欄には、営んでいる全ての事業が属する業種（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suppressAutoHyphens w:val="1"/>
        <w:kinsoku w:val="0"/>
        <w:wordWrap w:val="0"/>
        <w:autoSpaceDE w:val="0"/>
        <w:autoSpaceDN w:val="0"/>
        <w:spacing w:before="180" w:beforeLines="50" w:beforeAutospacing="0"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（表２：企業全体に係る原油等の最近１か月間の仕入単価の上昇）</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2977"/>
        <w:gridCol w:w="2410"/>
        <w:gridCol w:w="3089"/>
      </w:tblGrid>
      <w:tr>
        <w:trPr/>
        <w:tc>
          <w:tcPr>
            <w:tcW w:w="1271" w:type="dxa"/>
            <w:vAlign w:val="top"/>
          </w:tcPr>
          <w:p>
            <w:pPr>
              <w:pStyle w:val="0"/>
              <w:rPr>
                <w:rFonts w:hint="default" w:ascii="ＭＳ ゴシック" w:hAnsi="ＭＳ ゴシック" w:eastAsia="ＭＳ ゴシック"/>
                <w:sz w:val="24"/>
              </w:rPr>
            </w:pPr>
          </w:p>
        </w:tc>
        <w:tc>
          <w:tcPr>
            <w:tcW w:w="2977"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原油等の最近１か月間の平均仕入単価</w:t>
            </w:r>
          </w:p>
        </w:tc>
        <w:tc>
          <w:tcPr>
            <w:tcW w:w="2410"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原油等の前年同月の平均仕入単価</w:t>
            </w:r>
          </w:p>
        </w:tc>
        <w:tc>
          <w:tcPr>
            <w:tcW w:w="3089"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原油等の仕入単価の上昇率（</w:t>
            </w:r>
            <w:r>
              <w:rPr>
                <w:rFonts w:hint="eastAsia" w:ascii="ＭＳ ゴシック" w:hAnsi="ＭＳ ゴシック" w:eastAsia="ＭＳ ゴシック"/>
                <w:sz w:val="24"/>
              </w:rPr>
              <w:t>E/</w:t>
            </w:r>
            <w:r>
              <w:rPr>
                <w:rFonts w:hint="eastAsia" w:ascii="ＭＳ ゴシック" w:hAnsi="ＭＳ ゴシック" w:eastAsia="ＭＳ ゴシック"/>
                <w:sz w:val="24"/>
              </w:rPr>
              <w:t>ｅ×</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rHeight w:val="549" w:hRule="atLeast"/>
        </w:trPr>
        <w:tc>
          <w:tcPr>
            <w:tcW w:w="1271"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w:t>
            </w:r>
          </w:p>
        </w:tc>
        <w:tc>
          <w:tcPr>
            <w:tcW w:w="2977" w:type="dxa"/>
            <w:tcBorders>
              <w:top w:val="single" w:color="auto" w:sz="24" w:space="0"/>
              <w:left w:val="single" w:color="auto" w:sz="24" w:space="0"/>
              <w:bottom w:val="single" w:color="auto" w:sz="24"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2410"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円【ｅ】</w:t>
            </w:r>
          </w:p>
        </w:tc>
        <w:tc>
          <w:tcPr>
            <w:tcW w:w="3089" w:type="dxa"/>
            <w:tcBorders>
              <w:top w:val="single" w:color="auto" w:sz="24" w:space="0"/>
              <w:left w:val="none" w:color="auto" w:sz="0" w:space="0"/>
              <w:bottom w:val="single" w:color="auto" w:sz="24" w:space="0"/>
              <w:right w:val="single" w:color="auto" w:sz="24" w:space="0"/>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before="180" w:beforeLines="50" w:beforeAutospacing="0"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（表３：企業全体の売上原価に占める原油等の仕入価格の割合</w:t>
      </w:r>
      <w:r>
        <w:rPr>
          <w:rFonts w:hint="eastAsia" w:ascii="ＭＳ ゴシック" w:hAnsi="ＭＳ ゴシック" w:eastAsia="ＭＳ ゴシック"/>
          <w:color w:val="000000"/>
          <w:kern w:val="0"/>
          <w:sz w:val="24"/>
        </w:rPr>
        <w:t>）</w:t>
      </w:r>
    </w:p>
    <w:tbl>
      <w:tblPr>
        <w:tblStyle w:val="11"/>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1"/>
        <w:gridCol w:w="2693"/>
        <w:gridCol w:w="2835"/>
        <w:gridCol w:w="2987"/>
      </w:tblGrid>
      <w:tr>
        <w:trPr>
          <w:trHeight w:val="968" w:hRule="atLeast"/>
        </w:trPr>
        <w:tc>
          <w:tcPr>
            <w:tcW w:w="1271" w:type="dxa"/>
            <w:vAlign w:val="top"/>
          </w:tcPr>
          <w:p>
            <w:pPr>
              <w:pStyle w:val="0"/>
              <w:jc w:val="center"/>
              <w:rPr>
                <w:rFonts w:hint="default" w:ascii="ＭＳ ゴシック" w:hAnsi="ＭＳ ゴシック" w:eastAsia="ＭＳ ゴシック"/>
                <w:sz w:val="24"/>
              </w:rPr>
            </w:pPr>
          </w:p>
        </w:tc>
        <w:tc>
          <w:tcPr>
            <w:tcW w:w="2693"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w:t>
            </w:r>
          </w:p>
          <w:p>
            <w:pPr>
              <w:pStyle w:val="0"/>
              <w:jc w:val="center"/>
              <w:rPr>
                <w:rFonts w:hint="default" w:ascii="ＭＳ ゴシック" w:hAnsi="ＭＳ ゴシック" w:eastAsia="ＭＳ ゴシック"/>
                <w:sz w:val="24"/>
              </w:rPr>
            </w:pPr>
          </w:p>
        </w:tc>
        <w:tc>
          <w:tcPr>
            <w:tcW w:w="2835"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最近１か月間の売上原価に対応する原油等の仕入価格</w:t>
            </w:r>
          </w:p>
        </w:tc>
        <w:tc>
          <w:tcPr>
            <w:tcW w:w="2987"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売上原価に占める原油等の仕入価格の割合</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S/C</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r>
        <w:trPr>
          <w:trHeight w:val="509" w:hRule="atLeast"/>
        </w:trPr>
        <w:tc>
          <w:tcPr>
            <w:tcW w:w="1271"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w:t>
            </w:r>
          </w:p>
        </w:tc>
        <w:tc>
          <w:tcPr>
            <w:tcW w:w="2693" w:type="dxa"/>
            <w:tcBorders>
              <w:top w:val="single" w:color="auto" w:sz="24" w:space="0"/>
              <w:left w:val="single" w:color="auto" w:sz="24" w:space="0"/>
              <w:bottom w:val="single" w:color="auto" w:sz="24"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円【Ｃ】</w:t>
            </w:r>
          </w:p>
        </w:tc>
        <w:tc>
          <w:tcPr>
            <w:tcW w:w="2835"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円【Ｓ】</w:t>
            </w:r>
          </w:p>
        </w:tc>
        <w:tc>
          <w:tcPr>
            <w:tcW w:w="2987" w:type="dxa"/>
            <w:tcBorders>
              <w:top w:val="single" w:color="auto" w:sz="24" w:space="0"/>
              <w:left w:val="none" w:color="auto" w:sz="0" w:space="0"/>
              <w:bottom w:val="single" w:color="auto" w:sz="24" w:space="0"/>
              <w:right w:val="single" w:color="auto" w:sz="24" w:space="0"/>
              <w:tl2br w:val="none" w:color="auto" w:sz="0" w:space="0"/>
              <w:tr2bl w:val="none" w:color="auto" w:sz="0" w:space="0"/>
            </w:tcBorders>
            <w:vAlign w:val="center"/>
          </w:tcPr>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kern w:val="0"/>
          <w:sz w:val="24"/>
        </w:rPr>
      </w:pPr>
      <w:r>
        <w:rPr>
          <w:rFonts w:hint="eastAsia" w:ascii="ＭＳ ゴシック" w:hAnsi="ＭＳ ゴシック" w:eastAsia="ＭＳ ゴシック"/>
          <w:sz w:val="24"/>
        </w:rPr>
        <w:t>（表４：</w:t>
      </w:r>
      <w:r>
        <w:rPr>
          <w:rFonts w:hint="eastAsia" w:ascii="ＭＳ ゴシック" w:hAnsi="ＭＳ ゴシック" w:eastAsia="ＭＳ ゴシック"/>
          <w:color w:val="000000"/>
          <w:kern w:val="0"/>
          <w:sz w:val="24"/>
        </w:rPr>
        <w:t>企業全体の製品等価格への転嫁の状況）</w:t>
      </w:r>
    </w:p>
    <w:tbl>
      <w:tblPr>
        <w:tblStyle w:val="1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809"/>
        <w:gridCol w:w="1596"/>
        <w:gridCol w:w="1559"/>
        <w:gridCol w:w="958"/>
        <w:gridCol w:w="1328"/>
        <w:gridCol w:w="1458"/>
        <w:gridCol w:w="935"/>
        <w:gridCol w:w="1133"/>
      </w:tblGrid>
      <w:tr>
        <w:trPr/>
        <w:tc>
          <w:tcPr>
            <w:tcW w:w="80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p>
        </w:tc>
        <w:tc>
          <w:tcPr>
            <w:tcW w:w="159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最近３か月間の原油等の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559"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最近３か月間の売上高</w:t>
            </w:r>
          </w:p>
        </w:tc>
        <w:tc>
          <w:tcPr>
            <w:tcW w:w="958"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328"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前年同期の原油等の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仕入価格</w:t>
            </w:r>
          </w:p>
        </w:tc>
        <w:tc>
          <w:tcPr>
            <w:tcW w:w="1458"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前年同期の</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売上高</w:t>
            </w:r>
          </w:p>
        </w:tc>
        <w:tc>
          <w:tcPr>
            <w:tcW w:w="935"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tc>
        <w:tc>
          <w:tcPr>
            <w:tcW w:w="1133"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w:t>
            </w:r>
          </w:p>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a/b</w:t>
            </w:r>
            <w:r>
              <w:rPr>
                <w:rFonts w:hint="eastAsia" w:ascii="ＭＳ ゴシック" w:hAnsi="ＭＳ ゴシック" w:eastAsia="ＭＳ ゴシック"/>
                <w:sz w:val="24"/>
              </w:rPr>
              <w:t>）＝Ｐ</w:t>
            </w:r>
          </w:p>
        </w:tc>
      </w:tr>
      <w:tr>
        <w:trPr/>
        <w:tc>
          <w:tcPr>
            <w:tcW w:w="809"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企業</w:t>
            </w:r>
          </w:p>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全体</w:t>
            </w:r>
          </w:p>
        </w:tc>
        <w:tc>
          <w:tcPr>
            <w:tcW w:w="1596" w:type="dxa"/>
            <w:tcBorders>
              <w:top w:val="single" w:color="auto" w:sz="24" w:space="0"/>
              <w:left w:val="single" w:color="auto" w:sz="24"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559"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58"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328"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1458"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935" w:type="dxa"/>
            <w:tcBorders>
              <w:top w:val="single" w:color="auto" w:sz="24" w:space="0"/>
              <w:left w:val="none" w:color="auto" w:sz="0" w:space="0"/>
              <w:bottom w:val="single" w:color="auto" w:sz="2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c>
          <w:tcPr>
            <w:tcW w:w="1133" w:type="dxa"/>
            <w:tcBorders>
              <w:top w:val="single" w:color="auto" w:sz="24" w:space="0"/>
              <w:left w:val="none" w:color="auto" w:sz="0"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tc>
      </w:tr>
    </w:tbl>
    <w:p>
      <w:pPr>
        <w:pStyle w:val="0"/>
        <w:widowControl w:val="1"/>
        <w:ind w:left="701" w:hanging="701" w:hangingChars="292"/>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shd w:val="pct15" w:color="auto" w:fill="auto"/>
        </w:rPr>
        <w:t>（注）認定申請にあたっては、次の書類を合わせて提出すること</w:t>
      </w:r>
    </w:p>
    <w:p>
      <w:pPr>
        <w:pStyle w:val="0"/>
        <w:widowControl w:val="1"/>
        <w:ind w:left="996" w:leftChars="336" w:hanging="290" w:hangingChars="121"/>
        <w:jc w:val="left"/>
        <w:rPr>
          <w:rFonts w:hint="default" w:ascii="ＭＳ ゴシック" w:hAnsi="ＭＳ ゴシック" w:eastAsia="ＭＳ ゴシック"/>
          <w:sz w:val="24"/>
          <w:shd w:val="clear" w:color="auto" w:fill="auto"/>
        </w:rPr>
      </w:pPr>
      <w:r>
        <w:rPr>
          <w:rFonts w:hint="eastAsia" w:ascii="ＭＳ ゴシック" w:hAnsi="ＭＳ ゴシック" w:eastAsia="ＭＳ ゴシック"/>
          <w:sz w:val="24"/>
          <w:shd w:val="clear" w:color="auto" w:fill="auto"/>
        </w:rPr>
        <w:t>１　営んでいる事業が全て指定業種に属することが疎明できる書類等</w:t>
      </w:r>
    </w:p>
    <w:p>
      <w:pPr>
        <w:pStyle w:val="0"/>
        <w:widowControl w:val="1"/>
        <w:ind w:left="972" w:leftChars="463" w:firstLine="55" w:firstLineChars="25"/>
        <w:jc w:val="left"/>
        <w:rPr>
          <w:rFonts w:hint="default" w:ascii="ＭＳ ゴシック" w:hAnsi="ＭＳ ゴシック" w:eastAsia="ＭＳ ゴシック"/>
          <w:sz w:val="24"/>
          <w:shd w:val="clear" w:color="auto" w:fill="auto"/>
        </w:rPr>
      </w:pPr>
      <w:r>
        <w:rPr>
          <w:rFonts w:hint="eastAsia" w:ascii="ＭＳ ゴシック" w:hAnsi="ＭＳ ゴシック" w:eastAsia="ＭＳ ゴシック"/>
          <w:sz w:val="22"/>
          <w:shd w:val="clear" w:color="auto" w:fill="auto"/>
        </w:rPr>
        <w:t>（取り扱っている製品・サービス等を疎明できる書類、許認可証など）</w:t>
      </w:r>
    </w:p>
    <w:p>
      <w:pPr>
        <w:pStyle w:val="0"/>
        <w:widowControl w:val="1"/>
        <w:ind w:left="1222" w:leftChars="343" w:hanging="502" w:hangingChars="209"/>
        <w:jc w:val="left"/>
        <w:rPr>
          <w:rFonts w:hint="default" w:ascii="ＭＳ ゴシック" w:hAnsi="ＭＳ ゴシック" w:eastAsia="ＭＳ ゴシック"/>
          <w:sz w:val="24"/>
        </w:rPr>
      </w:pPr>
      <w:r>
        <w:rPr>
          <w:rFonts w:hint="eastAsia" w:ascii="ＭＳ ゴシック" w:hAnsi="ＭＳ ゴシック" w:eastAsia="ＭＳ ゴシック"/>
          <w:sz w:val="24"/>
          <w:shd w:val="clear" w:color="auto" w:fill="auto"/>
        </w:rPr>
        <w:t>２　</w:t>
      </w:r>
      <w:r>
        <w:rPr>
          <w:rFonts w:hint="eastAsia" w:ascii="ＭＳ ゴシック" w:hAnsi="ＭＳ ゴシック" w:eastAsia="ＭＳ ゴシック"/>
          <w:sz w:val="24"/>
        </w:rPr>
        <w:t>上記の原油等の仕入価格、売上原価及び売上高が分かる書類等</w:t>
      </w:r>
    </w:p>
    <w:p>
      <w:pPr>
        <w:pStyle w:val="0"/>
        <w:widowControl w:val="1"/>
        <w:spacing w:line="230" w:lineRule="exact"/>
        <w:ind w:left="420" w:leftChars="200" w:firstLine="660" w:firstLineChars="300"/>
        <w:jc w:val="left"/>
        <w:rPr>
          <w:rFonts w:hint="eastAsia"/>
          <w:sz w:val="18"/>
        </w:rPr>
      </w:pPr>
      <w:r>
        <w:rPr>
          <w:rFonts w:hint="eastAsia" w:ascii="ＭＳ ゴシック" w:hAnsi="ＭＳ ゴシック" w:eastAsia="ＭＳ ゴシック"/>
          <w:sz w:val="22"/>
        </w:rPr>
        <w:t>（仕入帳、試算表、売上台帳など）</w:t>
      </w:r>
    </w:p>
    <w:sectPr>
      <w:pgSz w:w="11906" w:h="16838"/>
      <w:pgMar w:top="283" w:right="1134" w:bottom="283"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2</Pages>
  <Words>22</Words>
  <Characters>1582</Characters>
  <Application>JUST Note</Application>
  <Lines>163</Lines>
  <Paragraphs>111</Paragraphs>
  <Company>青梅市</Company>
  <CharactersWithSpaces>2355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南</dc:creator>
  <cp:lastModifiedBy>本橋　拓也</cp:lastModifiedBy>
  <cp:lastPrinted>2024-10-23T06:36:49Z</cp:lastPrinted>
  <dcterms:created xsi:type="dcterms:W3CDTF">2023-11-22T04:17:00Z</dcterms:created>
  <dcterms:modified xsi:type="dcterms:W3CDTF">2024-10-23T06:31:04Z</dcterms:modified>
  <cp:revision>0</cp:revision>
</cp:coreProperties>
</file>